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 Management Information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Relevant Authority which incorporates the data described in the Supply Chain Information Report Template which is: </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on demand in the correct format as required by the Supply Chain Information Report Template, and always in accordance with the relevant reporting frequency requirements of the Buyer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43">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Pr>
        <w:drawing>
          <wp:inline distB="0" distT="0" distL="114300" distR="114300">
            <wp:extent cx="1476375" cy="7048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76375"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76697780.1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76697780.1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76697780.1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2023</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76697780.1</vt:lpwstr>
  </property>
</Properties>
</file>